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70" w:rsidRPr="00546B70" w:rsidRDefault="00546B70" w:rsidP="00546B70">
      <w:pPr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  <w:r w:rsidRPr="00546B70">
        <w:rPr>
          <w:rFonts w:ascii="Times New Roman" w:hAnsi="Times New Roman" w:cs="Times New Roman"/>
          <w:sz w:val="24"/>
          <w:szCs w:val="24"/>
        </w:rPr>
        <w:t xml:space="preserve">Nr </w:t>
      </w:r>
      <w:r w:rsidR="006A7A2A">
        <w:rPr>
          <w:rFonts w:ascii="Times New Roman" w:hAnsi="Times New Roman" w:cs="Times New Roman"/>
          <w:sz w:val="24"/>
          <w:szCs w:val="24"/>
        </w:rPr>
        <w:t>2</w:t>
      </w:r>
      <w:r w:rsidR="00757582">
        <w:rPr>
          <w:rFonts w:ascii="Times New Roman" w:hAnsi="Times New Roman" w:cs="Times New Roman"/>
          <w:sz w:val="24"/>
          <w:szCs w:val="24"/>
        </w:rPr>
        <w:t>.2</w:t>
      </w:r>
      <w:r w:rsidRPr="00546B70">
        <w:rPr>
          <w:rFonts w:ascii="Times New Roman" w:hAnsi="Times New Roman" w:cs="Times New Roman"/>
          <w:sz w:val="24"/>
          <w:szCs w:val="24"/>
        </w:rPr>
        <w:t xml:space="preserve"> –</w:t>
      </w:r>
      <w:r w:rsidRPr="00546B70">
        <w:rPr>
          <w:rFonts w:ascii="Times New Roman" w:hAnsi="Times New Roman" w:cs="Times New Roman"/>
          <w:bCs/>
          <w:iCs/>
          <w:sz w:val="24"/>
          <w:szCs w:val="24"/>
        </w:rPr>
        <w:t xml:space="preserve"> Opis przedmiotu zamówienia - Oświadczenie o spełnieniu wymagań jakościowych dla części I</w:t>
      </w:r>
      <w:r w:rsidR="00757582">
        <w:rPr>
          <w:rFonts w:ascii="Times New Roman" w:hAnsi="Times New Roman" w:cs="Times New Roman"/>
          <w:bCs/>
          <w:iCs/>
          <w:sz w:val="24"/>
          <w:szCs w:val="24"/>
        </w:rPr>
        <w:t>I</w:t>
      </w:r>
    </w:p>
    <w:p w:rsidR="00546B70" w:rsidRPr="00546B70" w:rsidRDefault="00757582" w:rsidP="00546B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582">
        <w:rPr>
          <w:rFonts w:ascii="Times New Roman" w:hAnsi="Times New Roman" w:cs="Times New Roman"/>
          <w:b/>
          <w:bCs/>
          <w:sz w:val="24"/>
          <w:szCs w:val="24"/>
        </w:rPr>
        <w:t xml:space="preserve">Zestawy jednorazowe do poboru </w:t>
      </w:r>
      <w:proofErr w:type="spellStart"/>
      <w:r w:rsidRPr="00757582">
        <w:rPr>
          <w:rFonts w:ascii="Times New Roman" w:hAnsi="Times New Roman" w:cs="Times New Roman"/>
          <w:b/>
          <w:bCs/>
          <w:sz w:val="24"/>
          <w:szCs w:val="24"/>
        </w:rPr>
        <w:t>ubogolekocytarnego</w:t>
      </w:r>
      <w:proofErr w:type="spellEnd"/>
      <w:r w:rsidRPr="00757582">
        <w:rPr>
          <w:rFonts w:ascii="Times New Roman" w:hAnsi="Times New Roman" w:cs="Times New Roman"/>
          <w:b/>
          <w:bCs/>
          <w:sz w:val="24"/>
          <w:szCs w:val="24"/>
        </w:rPr>
        <w:t xml:space="preserve"> koncentraku krwinek płytkowych- UKKP metodą automatycznej </w:t>
      </w:r>
      <w:proofErr w:type="spellStart"/>
      <w:r w:rsidRPr="00757582">
        <w:rPr>
          <w:rFonts w:ascii="Times New Roman" w:hAnsi="Times New Roman" w:cs="Times New Roman"/>
          <w:b/>
          <w:bCs/>
          <w:sz w:val="24"/>
          <w:szCs w:val="24"/>
        </w:rPr>
        <w:t>trombaferezy</w:t>
      </w:r>
      <w:proofErr w:type="spellEnd"/>
      <w:r w:rsidRPr="00757582">
        <w:rPr>
          <w:rFonts w:ascii="Times New Roman" w:hAnsi="Times New Roman" w:cs="Times New Roman"/>
          <w:b/>
          <w:bCs/>
          <w:sz w:val="24"/>
          <w:szCs w:val="24"/>
        </w:rPr>
        <w:t xml:space="preserve"> na posiadanych separatorach MCS+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546B70" w:rsidTr="00546B70">
        <w:tc>
          <w:tcPr>
            <w:tcW w:w="704" w:type="dxa"/>
          </w:tcPr>
          <w:p w:rsid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b/>
                <w:sz w:val="24"/>
                <w:szCs w:val="24"/>
              </w:rPr>
              <w:t>Wymagane jest spełnienie następujących warunków granicznych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Warunek spełniony: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Zestawy jednorazowego użytku, sterylne, zamknięte lub funkcjonalnie zamknięte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Zestawy wyposażone w igłę poddaną obróbce zwiększającej poślizg. Igła zabezpieczona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zamkniętą osłonką, w taki sposób, aby zdjęcie osłonki było możliwe i łatwe. Zestaw wyposażony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również w dodatkową osłonkę zabezpieczającą igłę po pobraniu oraz umożliwiającą jej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nieodwracalne zablokow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anie po zakończeniu poboru krwi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 xml:space="preserve">Zestawy wyposażone w pojemnik </w:t>
            </w:r>
            <w:proofErr w:type="spellStart"/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próbkowy</w:t>
            </w:r>
            <w:proofErr w:type="spellEnd"/>
            <w:r w:rsidRPr="00757582">
              <w:rPr>
                <w:rFonts w:ascii="Times New Roman" w:hAnsi="Times New Roman" w:cs="Times New Roman"/>
                <w:sz w:val="24"/>
                <w:szCs w:val="24"/>
              </w:rPr>
              <w:t xml:space="preserve"> o pojemności min. 30 ml do pobrania próbek z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pierwszej porcji krwi przed donacją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Zestawy wyposażone w porty z filtrem antybakteryjnym do jałowego podłączenia płynów: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 xml:space="preserve">a) płynu </w:t>
            </w:r>
            <w:proofErr w:type="spellStart"/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antykoagulacyjnego</w:t>
            </w:r>
            <w:proofErr w:type="spellEnd"/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b) NaCl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Zestawy wyposażone w dwa pojemniki z tworzywa umożliwiającego przechowywanie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uzyskiwanych w wyniku separac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ji UKKP przez co najmniej 5 dni do 7 dni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Każdy końcowy pojemnik do przechowywania UKKP musi posiadać zintegrowany dodatkowy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pojemnik satelitarny umożliwiający sterylne pobranie próbki do badań kontroli jakości. Każdy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końcowy pojemnik do przechowywania osocza musi być wyposażony w elastyczne dreny z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możliwością ich łatwego rolowania i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kutecznego wykonywania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zgrzewów</w:t>
            </w:r>
            <w:proofErr w:type="spellEnd"/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Pojemniki do przechowywania UKKP zawierające co najmniej 2 porty, zabezpieczone błoną od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wewnątrz oraz odpowiednią ochroną z zewnątrz zapewniającą jałowość, umożliwiające łatwy dostęp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do podł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ączenia zestawu do przetoczenia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Centralnie na dolnej krawędzi pojemników do przechowywania UKKP oraz pojemników do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przechowywania osocza podłużne nacięcie materiału pojemnika o długości około 2 cm,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umożliwiające zawieszanie pojemników na haczykach statywów transfuzyjnych.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 pojemnikach do przechowywania UKKP oraz pojemnikach do przechowywania osocza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trwale umocowane etykiety, które nie mogą ulegać uszkodzeniu ani odklejeniu w czasie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preparatyki i przechowywania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Etykieta macierzysta o wymiarach umożliwiających przyklejenie na niej etykiety głównej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 xml:space="preserve">zgodnej 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wymaganiami ISBT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37" w:type="dxa"/>
          </w:tcPr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 xml:space="preserve">Etykieta macierzysta musi posiadać znak CE oraz kody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opowiadające standardom ISBT 128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Etykiety muszą zawierać :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a) nazwę firmy i nazwę zestawu,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b) numer serii w postaci literowo-cyfrowej i kodu kreskowego,</w:t>
            </w:r>
          </w:p>
          <w:p w:rsidR="00546B70" w:rsidRPr="00546B70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c) numer REF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757582" w:rsidTr="00546B70">
        <w:tc>
          <w:tcPr>
            <w:tcW w:w="704" w:type="dxa"/>
          </w:tcPr>
          <w:p w:rsidR="00757582" w:rsidRDefault="00757582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37" w:type="dxa"/>
          </w:tcPr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Każdy zestaw musi być zamknięty w osobnym opakowaniu zabezpieczającym, zapewniającym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odpowiednią wilgotność w czasie przechowywania, pojedyncze zestawy muszą być oznakowane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(nazwę firmy i nazwę zestawu, numer serii w postaci literowo-cyfrowej i kodu kreskowego, numer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82">
              <w:rPr>
                <w:rFonts w:ascii="Times New Roman" w:hAnsi="Times New Roman" w:cs="Times New Roman"/>
                <w:sz w:val="24"/>
                <w:szCs w:val="24"/>
              </w:rPr>
              <w:t>REF, data ważności )</w:t>
            </w:r>
          </w:p>
          <w:p w:rsidR="00757582" w:rsidRPr="00757582" w:rsidRDefault="00757582" w:rsidP="00757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757582" w:rsidRPr="00546B70" w:rsidRDefault="001827E7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7E7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</w:tbl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b/>
          <w:sz w:val="24"/>
          <w:szCs w:val="24"/>
        </w:rPr>
      </w:pPr>
      <w:r w:rsidRPr="00546B70">
        <w:rPr>
          <w:rFonts w:ascii="Times New Roman" w:hAnsi="Times New Roman" w:cs="Times New Roman"/>
          <w:b/>
          <w:sz w:val="24"/>
          <w:szCs w:val="24"/>
        </w:rPr>
        <w:t>Niespełnienie któregokolwiek z powyższych wymogów powoduje odrzucenie oferty jako niezgodnej z SWZ.</w:t>
      </w:r>
    </w:p>
    <w:p w:rsid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  <w:r w:rsidRPr="00546B7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546B70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546B7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 xml:space="preserve">(oświadczenie podpisane 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>elektronicznie przez Imię i Nazwisko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 xml:space="preserve"> – pełniona funkcja w firmie)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b/>
          <w:sz w:val="24"/>
          <w:szCs w:val="24"/>
        </w:rPr>
      </w:pPr>
    </w:p>
    <w:sectPr w:rsidR="00546B70" w:rsidRPr="00546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15E3C"/>
    <w:multiLevelType w:val="hybridMultilevel"/>
    <w:tmpl w:val="0930DF3E"/>
    <w:lvl w:ilvl="0" w:tplc="5CE655AC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70"/>
    <w:rsid w:val="001827E7"/>
    <w:rsid w:val="00546B70"/>
    <w:rsid w:val="006A7A2A"/>
    <w:rsid w:val="00757582"/>
    <w:rsid w:val="00C366E3"/>
    <w:rsid w:val="00D45ACA"/>
    <w:rsid w:val="00E0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5637C-A60B-49A7-9891-19595922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dcterms:created xsi:type="dcterms:W3CDTF">2026-03-13T11:49:00Z</dcterms:created>
  <dcterms:modified xsi:type="dcterms:W3CDTF">2026-03-13T11:49:00Z</dcterms:modified>
</cp:coreProperties>
</file>